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BF658" w14:textId="77777777" w:rsidR="00F3107F" w:rsidRDefault="00F3107F" w:rsidP="00F3107F">
      <w:pPr>
        <w:spacing w:after="240" w:line="265" w:lineRule="auto"/>
        <w:ind w:left="392" w:hanging="10"/>
        <w:jc w:val="left"/>
      </w:pPr>
      <w:r>
        <w:rPr>
          <w:sz w:val="26"/>
        </w:rPr>
        <w:t>98.03 ABATEMENT PROCEDURE.</w:t>
      </w:r>
    </w:p>
    <w:p w14:paraId="673682A2" w14:textId="77777777" w:rsidR="00F3107F" w:rsidRDefault="00F3107F" w:rsidP="00F3107F">
      <w:pPr>
        <w:numPr>
          <w:ilvl w:val="1"/>
          <w:numId w:val="1"/>
        </w:numPr>
        <w:spacing w:after="290"/>
        <w:ind w:right="14"/>
      </w:pPr>
      <w:r>
        <w:t>The owner or occupant of any real estate within the corporate limits or zoning jurisdiction of the city shall keep such real estate free of nuisances. Except to the extent that conflicting procedures are otherwise provided, the procedures in this section shall apply to abatement of nuisances.</w:t>
      </w:r>
    </w:p>
    <w:p w14:paraId="313E5F30" w14:textId="77777777" w:rsidR="00F3107F" w:rsidRDefault="00F3107F" w:rsidP="00F3107F">
      <w:pPr>
        <w:numPr>
          <w:ilvl w:val="1"/>
          <w:numId w:val="1"/>
        </w:numPr>
        <w:spacing w:after="291"/>
        <w:ind w:right="14"/>
      </w:pPr>
      <w:r>
        <w:rPr>
          <w:noProof/>
        </w:rPr>
        <w:drawing>
          <wp:anchor distT="0" distB="0" distL="114300" distR="114300" simplePos="0" relativeHeight="251659264" behindDoc="0" locked="0" layoutInCell="1" allowOverlap="0" wp14:anchorId="72EA2878" wp14:editId="1C1F8AD8">
            <wp:simplePos x="0" y="0"/>
            <wp:positionH relativeFrom="page">
              <wp:posOffset>411480</wp:posOffset>
            </wp:positionH>
            <wp:positionV relativeFrom="page">
              <wp:posOffset>8997696</wp:posOffset>
            </wp:positionV>
            <wp:extent cx="9144" cy="4573"/>
            <wp:effectExtent l="0" t="0" r="0" b="0"/>
            <wp:wrapSquare wrapText="bothSides"/>
            <wp:docPr id="7555" name="Picture 7555"/>
            <wp:cNvGraphicFramePr/>
            <a:graphic xmlns:a="http://schemas.openxmlformats.org/drawingml/2006/main">
              <a:graphicData uri="http://schemas.openxmlformats.org/drawingml/2006/picture">
                <pic:pic xmlns:pic="http://schemas.openxmlformats.org/drawingml/2006/picture">
                  <pic:nvPicPr>
                    <pic:cNvPr id="7555" name="Picture 7555"/>
                    <pic:cNvPicPr/>
                  </pic:nvPicPr>
                  <pic:blipFill>
                    <a:blip r:embed="rId5"/>
                    <a:stretch>
                      <a:fillRect/>
                    </a:stretch>
                  </pic:blipFill>
                  <pic:spPr>
                    <a:xfrm>
                      <a:off x="0" y="0"/>
                      <a:ext cx="9144" cy="4573"/>
                    </a:xfrm>
                    <a:prstGeom prst="rect">
                      <a:avLst/>
                    </a:prstGeom>
                  </pic:spPr>
                </pic:pic>
              </a:graphicData>
            </a:graphic>
          </wp:anchor>
        </w:drawing>
      </w:r>
      <w:r>
        <w:t>Upon determination by the Board of Health or designated official that the owner or occupant of any such real estate has failed to keep the real estate free of nuisances, notice to abate and remove such nuisance and notice of the right to a heating before the City Council and the manner in which it may be requested shall be given to each owner or owner's duly authorized agent and to the occupant, if any, by personal service or by certified mail. If notice by personal service or certified mail is unsuccessful, notice shall be given by publication in a newspaper of general circulation in the city or by conspicuously posting the notice on the real estate upon which the nuisance is to be abated and removed. The notice shall describe the condition as found by the Board of Health or designated official and state that the condition has been declared a nuisance and must be remedied at once.</w:t>
      </w:r>
    </w:p>
    <w:p w14:paraId="40D68237" w14:textId="77777777" w:rsidR="00F3107F" w:rsidRDefault="00F3107F" w:rsidP="00F3107F">
      <w:pPr>
        <w:numPr>
          <w:ilvl w:val="1"/>
          <w:numId w:val="1"/>
        </w:numPr>
        <w:spacing w:after="290"/>
        <w:ind w:right="14"/>
      </w:pPr>
      <w:r>
        <w:t>If within five days after receipt of such notice or publication of posting, whichever is applicable, the owner or occupant of the real estate does not request a hearing with the city or fails to comply with the order to abate and remove the nuisance, the city may have such work done.</w:t>
      </w:r>
    </w:p>
    <w:p w14:paraId="004E404A" w14:textId="77777777" w:rsidR="00F3107F" w:rsidRDefault="00F3107F" w:rsidP="00F3107F">
      <w:pPr>
        <w:numPr>
          <w:ilvl w:val="1"/>
          <w:numId w:val="1"/>
        </w:numPr>
        <w:ind w:left="65" w:right="14"/>
      </w:pPr>
      <w:r>
        <w:t xml:space="preserve">If within five days after receipt of such notice or publication or posting, whichever is applicable, the owner or occupant requests in writing a hearing with the City Council, the Council shall fix a time and place at which a hearing will be held. Notice of the hearing shall be given by personal service or certified mail and require the owner or occupant to appear before the Council to show cause why such </w:t>
      </w:r>
      <w:proofErr w:type="gramStart"/>
      <w:r>
        <w:t>condition</w:t>
      </w:r>
      <w:proofErr w:type="gramEnd"/>
      <w:r>
        <w:t xml:space="preserve"> should not be found to be a nuisance and remedied. The notice shall be given not less than seven </w:t>
      </w:r>
      <w:proofErr w:type="gramStart"/>
      <w:r>
        <w:t>nor</w:t>
      </w:r>
      <w:proofErr w:type="gramEnd"/>
      <w:r>
        <w:t xml:space="preserve"> more than 14 days before the time of the hearing. Upon the date fixed for the hearing and pursuant to the notice, the Council shall hear all objections made by the owner or occupant and shall hear evidence submitted by the Board of Health or designated official. If after consideration of all the evidence, the City Council finds that the condition is a nuisance, it shall, by resolution, order and direct the owner or occupant to remedy the nuisance at once. If the owner or occupant refuses or neglects to promptly comply with the order to abate and remove the nuisance, the Council may have such work done.</w:t>
      </w:r>
    </w:p>
    <w:p w14:paraId="55051539" w14:textId="77777777" w:rsidR="00F3107F" w:rsidRDefault="00F3107F" w:rsidP="00F3107F">
      <w:pPr>
        <w:ind w:left="122" w:right="14"/>
      </w:pPr>
      <w:r>
        <w:t>(E) The costs and expenses of any such Work shall be paid by the owner. If unpaid for two months after such work is done, the city may either:</w:t>
      </w:r>
    </w:p>
    <w:p w14:paraId="3F0C0A58" w14:textId="77777777" w:rsidR="00F3107F" w:rsidRDefault="00F3107F" w:rsidP="00F3107F">
      <w:pPr>
        <w:numPr>
          <w:ilvl w:val="2"/>
          <w:numId w:val="2"/>
        </w:numPr>
        <w:ind w:right="137"/>
      </w:pPr>
      <w:r>
        <w:t>Levy and assess the costs and expenses of the work upon the real estate so benefitted as a special assessment in the same manner as other special assessments for improvements are levied and assessed; or</w:t>
      </w:r>
    </w:p>
    <w:p w14:paraId="4BF5A3A4" w14:textId="77777777" w:rsidR="00F3107F" w:rsidRDefault="00F3107F" w:rsidP="00F3107F">
      <w:pPr>
        <w:numPr>
          <w:ilvl w:val="2"/>
          <w:numId w:val="2"/>
        </w:numPr>
        <w:spacing w:after="0"/>
        <w:ind w:right="137"/>
      </w:pPr>
      <w:r>
        <w:t>Recover in a civil action the costs and expenses of the work upon the real estate and the adjoining streets and alleys. (1999 code, S 4-303) Statut07Y reference:</w:t>
      </w:r>
    </w:p>
    <w:p w14:paraId="2993A3F8" w14:textId="77777777" w:rsidR="00F3107F" w:rsidRDefault="00F3107F" w:rsidP="00F3107F">
      <w:pPr>
        <w:spacing w:after="11"/>
        <w:ind w:left="468" w:right="14" w:firstLine="0"/>
      </w:pPr>
      <w:r>
        <w:lastRenderedPageBreak/>
        <w:t>Authority to regulate and abate nuisances, see Neb. RS 18-1720</w:t>
      </w:r>
    </w:p>
    <w:p w14:paraId="20062F52" w14:textId="77777777" w:rsidR="00F3107F" w:rsidRDefault="00F3107F" w:rsidP="00F3107F">
      <w:pPr>
        <w:spacing w:after="0"/>
        <w:ind w:left="58" w:right="5407"/>
      </w:pPr>
      <w:r>
        <w:t xml:space="preserve">Nuisances prohibited, see Neb. RS 28-1321 Similar provisions, see Neb. RS 17-563 </w:t>
      </w:r>
      <w:r>
        <w:rPr>
          <w:noProof/>
        </w:rPr>
        <w:drawing>
          <wp:inline distT="0" distB="0" distL="0" distR="0" wp14:anchorId="011E2EB4" wp14:editId="7DF265A3">
            <wp:extent cx="9144" cy="13716"/>
            <wp:effectExtent l="0" t="0" r="0" b="0"/>
            <wp:docPr id="10271" name="Picture 10271"/>
            <wp:cNvGraphicFramePr/>
            <a:graphic xmlns:a="http://schemas.openxmlformats.org/drawingml/2006/main">
              <a:graphicData uri="http://schemas.openxmlformats.org/drawingml/2006/picture">
                <pic:pic xmlns:pic="http://schemas.openxmlformats.org/drawingml/2006/picture">
                  <pic:nvPicPr>
                    <pic:cNvPr id="10271" name="Picture 10271"/>
                    <pic:cNvPicPr/>
                  </pic:nvPicPr>
                  <pic:blipFill>
                    <a:blip r:embed="rId6"/>
                    <a:stretch>
                      <a:fillRect/>
                    </a:stretch>
                  </pic:blipFill>
                  <pic:spPr>
                    <a:xfrm>
                      <a:off x="0" y="0"/>
                      <a:ext cx="9144" cy="13716"/>
                    </a:xfrm>
                    <a:prstGeom prst="rect">
                      <a:avLst/>
                    </a:prstGeom>
                  </pic:spPr>
                </pic:pic>
              </a:graphicData>
            </a:graphic>
          </wp:inline>
        </w:drawing>
      </w:r>
      <w:r>
        <w:t xml:space="preserve"> Zoning jurisdiction, Neb. RS 17-1001 Cross reference:</w:t>
      </w:r>
    </w:p>
    <w:p w14:paraId="2852288B" w14:textId="77777777" w:rsidR="00F3107F" w:rsidRDefault="00F3107F" w:rsidP="00F3107F">
      <w:pPr>
        <w:spacing w:after="547"/>
        <w:ind w:left="389" w:right="14" w:firstLine="0"/>
      </w:pPr>
      <w:r>
        <w:rPr>
          <w:noProof/>
        </w:rPr>
        <w:drawing>
          <wp:anchor distT="0" distB="0" distL="114300" distR="114300" simplePos="0" relativeHeight="251660288" behindDoc="0" locked="0" layoutInCell="1" allowOverlap="0" wp14:anchorId="57320B89" wp14:editId="35F16CBF">
            <wp:simplePos x="0" y="0"/>
            <wp:positionH relativeFrom="page">
              <wp:posOffset>452628</wp:posOffset>
            </wp:positionH>
            <wp:positionV relativeFrom="page">
              <wp:posOffset>3383280</wp:posOffset>
            </wp:positionV>
            <wp:extent cx="18288" cy="13716"/>
            <wp:effectExtent l="0" t="0" r="0" b="0"/>
            <wp:wrapSquare wrapText="bothSides"/>
            <wp:docPr id="10270" name="Picture 10270"/>
            <wp:cNvGraphicFramePr/>
            <a:graphic xmlns:a="http://schemas.openxmlformats.org/drawingml/2006/main">
              <a:graphicData uri="http://schemas.openxmlformats.org/drawingml/2006/picture">
                <pic:pic xmlns:pic="http://schemas.openxmlformats.org/drawingml/2006/picture">
                  <pic:nvPicPr>
                    <pic:cNvPr id="10270" name="Picture 10270"/>
                    <pic:cNvPicPr/>
                  </pic:nvPicPr>
                  <pic:blipFill>
                    <a:blip r:embed="rId7"/>
                    <a:stretch>
                      <a:fillRect/>
                    </a:stretch>
                  </pic:blipFill>
                  <pic:spPr>
                    <a:xfrm>
                      <a:off x="0" y="0"/>
                      <a:ext cx="18288" cy="13716"/>
                    </a:xfrm>
                    <a:prstGeom prst="rect">
                      <a:avLst/>
                    </a:prstGeom>
                  </pic:spPr>
                </pic:pic>
              </a:graphicData>
            </a:graphic>
          </wp:anchor>
        </w:drawing>
      </w:r>
      <w:r>
        <w:rPr>
          <w:noProof/>
        </w:rPr>
        <w:drawing>
          <wp:inline distT="0" distB="0" distL="0" distR="0" wp14:anchorId="09E5BD66" wp14:editId="4D9F95A5">
            <wp:extent cx="9144" cy="9144"/>
            <wp:effectExtent l="0" t="0" r="0" b="0"/>
            <wp:docPr id="10272" name="Picture 10272"/>
            <wp:cNvGraphicFramePr/>
            <a:graphic xmlns:a="http://schemas.openxmlformats.org/drawingml/2006/main">
              <a:graphicData uri="http://schemas.openxmlformats.org/drawingml/2006/picture">
                <pic:pic xmlns:pic="http://schemas.openxmlformats.org/drawingml/2006/picture">
                  <pic:nvPicPr>
                    <pic:cNvPr id="10272" name="Picture 10272"/>
                    <pic:cNvPicPr/>
                  </pic:nvPicPr>
                  <pic:blipFill>
                    <a:blip r:embed="rId8"/>
                    <a:stretch>
                      <a:fillRect/>
                    </a:stretch>
                  </pic:blipFill>
                  <pic:spPr>
                    <a:xfrm>
                      <a:off x="0" y="0"/>
                      <a:ext cx="9144" cy="9144"/>
                    </a:xfrm>
                    <a:prstGeom prst="rect">
                      <a:avLst/>
                    </a:prstGeom>
                  </pic:spPr>
                </pic:pic>
              </a:graphicData>
            </a:graphic>
          </wp:inline>
        </w:drawing>
      </w:r>
      <w:r>
        <w:t>Authority to obtain injunction against nuisance, see 10.99</w:t>
      </w:r>
    </w:p>
    <w:p w14:paraId="7839197F" w14:textId="77777777" w:rsidR="00F3107F" w:rsidRDefault="00F3107F"/>
    <w:sectPr w:rsidR="00F310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3D25E7"/>
    <w:multiLevelType w:val="hybridMultilevel"/>
    <w:tmpl w:val="96769EA4"/>
    <w:lvl w:ilvl="0" w:tplc="A63A853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9C996E">
      <w:start w:val="1"/>
      <w:numFmt w:val="lowerLetter"/>
      <w:lvlText w:val="%2"/>
      <w:lvlJc w:val="left"/>
      <w:pPr>
        <w:ind w:left="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FC93D2">
      <w:start w:val="1"/>
      <w:numFmt w:val="decimal"/>
      <w:lvlRestart w:val="0"/>
      <w:lvlText w:val="(%3)"/>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649B40">
      <w:start w:val="1"/>
      <w:numFmt w:val="decimal"/>
      <w:lvlText w:val="%4"/>
      <w:lvlJc w:val="left"/>
      <w:pPr>
        <w:ind w:left="2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10E182">
      <w:start w:val="1"/>
      <w:numFmt w:val="lowerLetter"/>
      <w:lvlText w:val="%5"/>
      <w:lvlJc w:val="left"/>
      <w:pPr>
        <w:ind w:left="2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368586">
      <w:start w:val="1"/>
      <w:numFmt w:val="lowerRoman"/>
      <w:lvlText w:val="%6"/>
      <w:lvlJc w:val="left"/>
      <w:pPr>
        <w:ind w:left="3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B07EC0">
      <w:start w:val="1"/>
      <w:numFmt w:val="decimal"/>
      <w:lvlText w:val="%7"/>
      <w:lvlJc w:val="left"/>
      <w:pPr>
        <w:ind w:left="4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10D8AC">
      <w:start w:val="1"/>
      <w:numFmt w:val="lowerLetter"/>
      <w:lvlText w:val="%8"/>
      <w:lvlJc w:val="left"/>
      <w:pPr>
        <w:ind w:left="4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CC3ED6">
      <w:start w:val="1"/>
      <w:numFmt w:val="lowerRoman"/>
      <w:lvlText w:val="%9"/>
      <w:lvlJc w:val="left"/>
      <w:pPr>
        <w:ind w:left="5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2B04295"/>
    <w:multiLevelType w:val="hybridMultilevel"/>
    <w:tmpl w:val="356018BC"/>
    <w:lvl w:ilvl="0" w:tplc="58A424D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9C821A">
      <w:start w:val="1"/>
      <w:numFmt w:val="upperLetter"/>
      <w:lvlRestart w:val="0"/>
      <w:lvlText w:val="(%2)"/>
      <w:lvlJc w:val="left"/>
      <w:pPr>
        <w:ind w:left="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BEB6CC">
      <w:start w:val="1"/>
      <w:numFmt w:val="lowerRoman"/>
      <w:lvlText w:val="%3"/>
      <w:lvlJc w:val="left"/>
      <w:pPr>
        <w:ind w:left="1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A0EA64">
      <w:start w:val="1"/>
      <w:numFmt w:val="decimal"/>
      <w:lvlText w:val="%4"/>
      <w:lvlJc w:val="left"/>
      <w:pPr>
        <w:ind w:left="2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1EB97E">
      <w:start w:val="1"/>
      <w:numFmt w:val="lowerLetter"/>
      <w:lvlText w:val="%5"/>
      <w:lvlJc w:val="left"/>
      <w:pPr>
        <w:ind w:left="2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5E001C">
      <w:start w:val="1"/>
      <w:numFmt w:val="lowerRoman"/>
      <w:lvlText w:val="%6"/>
      <w:lvlJc w:val="left"/>
      <w:pPr>
        <w:ind w:left="3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68A53C">
      <w:start w:val="1"/>
      <w:numFmt w:val="decimal"/>
      <w:lvlText w:val="%7"/>
      <w:lvlJc w:val="left"/>
      <w:pPr>
        <w:ind w:left="4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528C94">
      <w:start w:val="1"/>
      <w:numFmt w:val="lowerLetter"/>
      <w:lvlText w:val="%8"/>
      <w:lvlJc w:val="left"/>
      <w:pPr>
        <w:ind w:left="5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7E8E48">
      <w:start w:val="1"/>
      <w:numFmt w:val="lowerRoman"/>
      <w:lvlText w:val="%9"/>
      <w:lvlJc w:val="left"/>
      <w:pPr>
        <w:ind w:left="5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840120397">
    <w:abstractNumId w:val="1"/>
  </w:num>
  <w:num w:numId="2" w16cid:durableId="390808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07F"/>
    <w:rsid w:val="00CA05B9"/>
    <w:rsid w:val="00F31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28B1B"/>
  <w15:chartTrackingRefBased/>
  <w15:docId w15:val="{A901FFE9-EAD2-4D5A-A09F-00F077437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07F"/>
    <w:pPr>
      <w:spacing w:after="266" w:line="248" w:lineRule="auto"/>
      <w:ind w:left="144" w:firstLine="436"/>
      <w:jc w:val="both"/>
    </w:pPr>
    <w:rPr>
      <w:rFonts w:ascii="Times New Roman" w:eastAsia="Times New Roman" w:hAnsi="Times New Roman" w:cs="Times New Roman"/>
      <w:color w:val="000000"/>
    </w:rPr>
  </w:style>
  <w:style w:type="paragraph" w:styleId="Heading1">
    <w:name w:val="heading 1"/>
    <w:basedOn w:val="Normal"/>
    <w:next w:val="Normal"/>
    <w:link w:val="Heading1Char"/>
    <w:uiPriority w:val="9"/>
    <w:qFormat/>
    <w:rsid w:val="00F310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10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10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10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10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10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10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10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10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10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10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10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10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10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10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10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10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107F"/>
    <w:rPr>
      <w:rFonts w:eastAsiaTheme="majorEastAsia" w:cstheme="majorBidi"/>
      <w:color w:val="272727" w:themeColor="text1" w:themeTint="D8"/>
    </w:rPr>
  </w:style>
  <w:style w:type="paragraph" w:styleId="Title">
    <w:name w:val="Title"/>
    <w:basedOn w:val="Normal"/>
    <w:next w:val="Normal"/>
    <w:link w:val="TitleChar"/>
    <w:uiPriority w:val="10"/>
    <w:qFormat/>
    <w:rsid w:val="00F310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10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10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10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107F"/>
    <w:pPr>
      <w:spacing w:before="160"/>
      <w:jc w:val="center"/>
    </w:pPr>
    <w:rPr>
      <w:i/>
      <w:iCs/>
      <w:color w:val="404040" w:themeColor="text1" w:themeTint="BF"/>
    </w:rPr>
  </w:style>
  <w:style w:type="character" w:customStyle="1" w:styleId="QuoteChar">
    <w:name w:val="Quote Char"/>
    <w:basedOn w:val="DefaultParagraphFont"/>
    <w:link w:val="Quote"/>
    <w:uiPriority w:val="29"/>
    <w:rsid w:val="00F3107F"/>
    <w:rPr>
      <w:i/>
      <w:iCs/>
      <w:color w:val="404040" w:themeColor="text1" w:themeTint="BF"/>
    </w:rPr>
  </w:style>
  <w:style w:type="paragraph" w:styleId="ListParagraph">
    <w:name w:val="List Paragraph"/>
    <w:basedOn w:val="Normal"/>
    <w:uiPriority w:val="34"/>
    <w:qFormat/>
    <w:rsid w:val="00F3107F"/>
    <w:pPr>
      <w:ind w:left="720"/>
      <w:contextualSpacing/>
    </w:pPr>
  </w:style>
  <w:style w:type="character" w:styleId="IntenseEmphasis">
    <w:name w:val="Intense Emphasis"/>
    <w:basedOn w:val="DefaultParagraphFont"/>
    <w:uiPriority w:val="21"/>
    <w:qFormat/>
    <w:rsid w:val="00F3107F"/>
    <w:rPr>
      <w:i/>
      <w:iCs/>
      <w:color w:val="0F4761" w:themeColor="accent1" w:themeShade="BF"/>
    </w:rPr>
  </w:style>
  <w:style w:type="paragraph" w:styleId="IntenseQuote">
    <w:name w:val="Intense Quote"/>
    <w:basedOn w:val="Normal"/>
    <w:next w:val="Normal"/>
    <w:link w:val="IntenseQuoteChar"/>
    <w:uiPriority w:val="30"/>
    <w:qFormat/>
    <w:rsid w:val="00F310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107F"/>
    <w:rPr>
      <w:i/>
      <w:iCs/>
      <w:color w:val="0F4761" w:themeColor="accent1" w:themeShade="BF"/>
    </w:rPr>
  </w:style>
  <w:style w:type="character" w:styleId="IntenseReference">
    <w:name w:val="Intense Reference"/>
    <w:basedOn w:val="DefaultParagraphFont"/>
    <w:uiPriority w:val="32"/>
    <w:qFormat/>
    <w:rsid w:val="00F310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507</Words>
  <Characters>2895</Characters>
  <Application>Microsoft Office Word</Application>
  <DocSecurity>0</DocSecurity>
  <Lines>24</Lines>
  <Paragraphs>6</Paragraphs>
  <ScaleCrop>false</ScaleCrop>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City Clerk</cp:lastModifiedBy>
  <cp:revision>1</cp:revision>
  <dcterms:created xsi:type="dcterms:W3CDTF">2026-07-13T15:04:00Z</dcterms:created>
  <dcterms:modified xsi:type="dcterms:W3CDTF">2026-07-13T15:05:00Z</dcterms:modified>
</cp:coreProperties>
</file>